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99B88B" w14:textId="77777777" w:rsidR="002E2EC4" w:rsidRDefault="002E2EC4">
      <w:pPr>
        <w:spacing w:before="120" w:line="276" w:lineRule="auto"/>
        <w:rPr>
          <w:rFonts w:ascii="Minion Pro" w:hAnsi="Minion Pro"/>
        </w:rPr>
      </w:pPr>
    </w:p>
    <w:tbl>
      <w:tblPr>
        <w:tblW w:w="9355" w:type="dxa"/>
        <w:tblInd w:w="-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5"/>
      </w:tblGrid>
      <w:tr w:rsidR="002E2EC4" w14:paraId="2A99B898" w14:textId="77777777">
        <w:tblPrEx>
          <w:tblCellMar>
            <w:top w:w="0" w:type="dxa"/>
            <w:bottom w:w="0" w:type="dxa"/>
          </w:tblCellMar>
        </w:tblPrEx>
        <w:tc>
          <w:tcPr>
            <w:tcW w:w="9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9B88C" w14:textId="77777777" w:rsidR="002E2EC4" w:rsidRDefault="002769AC">
            <w:pPr>
              <w:pStyle w:val="ListParagraph"/>
              <w:numPr>
                <w:ilvl w:val="0"/>
                <w:numId w:val="1"/>
              </w:numPr>
              <w:spacing w:before="120" w:after="0" w:line="276" w:lineRule="auto"/>
            </w:pPr>
            <w:proofErr w:type="spellStart"/>
            <w:r>
              <w:rPr>
                <w:rFonts w:ascii="Minion Pro" w:hAnsi="Minion Pro"/>
              </w:rPr>
              <w:t>Aïtel</w:t>
            </w:r>
            <w:proofErr w:type="spellEnd"/>
            <w:r>
              <w:rPr>
                <w:rFonts w:ascii="Minion Pro" w:hAnsi="Minion Pro"/>
              </w:rPr>
              <w:t xml:space="preserve">, F. (2014). </w:t>
            </w:r>
            <w:r>
              <w:rPr>
                <w:rFonts w:ascii="Minion Pro" w:hAnsi="Minion Pro"/>
                <w:i/>
                <w:iCs/>
              </w:rPr>
              <w:t>We are Imazighen: The development of Algerian Berber identity in twentieth-century literature and culture</w:t>
            </w:r>
            <w:r>
              <w:rPr>
                <w:rFonts w:ascii="Minion Pro" w:hAnsi="Minion Pro"/>
              </w:rPr>
              <w:t>. University Press of Florida</w:t>
            </w:r>
          </w:p>
          <w:p w14:paraId="2A99B88D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  <w:jc w:val="both"/>
            </w:pPr>
            <w:proofErr w:type="spellStart"/>
            <w:r>
              <w:rPr>
                <w:rFonts w:ascii="Minion Pro" w:hAnsi="Minion Pro"/>
                <w:color w:val="000000"/>
                <w:lang w:val="fr-BE"/>
              </w:rPr>
              <w:t>Andam</w:t>
            </w:r>
            <w:proofErr w:type="spellEnd"/>
            <w:r>
              <w:rPr>
                <w:rFonts w:ascii="Minion Pro" w:hAnsi="Minion Pro"/>
                <w:color w:val="000000"/>
                <w:lang w:val="fr-BE"/>
              </w:rPr>
              <w:t xml:space="preserve">, L. (2017). Quelques motifs de l’identité amazighe dans la poésie de </w:t>
            </w:r>
            <w:proofErr w:type="spellStart"/>
            <w:r>
              <w:rPr>
                <w:rFonts w:ascii="Minion Pro" w:hAnsi="Minion Pro"/>
                <w:color w:val="000000"/>
                <w:lang w:val="fr-BE"/>
              </w:rPr>
              <w:t>Sidqi</w:t>
            </w:r>
            <w:proofErr w:type="spellEnd"/>
            <w:r>
              <w:rPr>
                <w:rFonts w:ascii="Minion Pro" w:hAnsi="Minion Pro"/>
                <w:color w:val="000000"/>
                <w:lang w:val="fr-BE"/>
              </w:rPr>
              <w:t xml:space="preserve"> </w:t>
            </w:r>
            <w:proofErr w:type="spellStart"/>
            <w:r>
              <w:rPr>
                <w:rFonts w:ascii="Minion Pro" w:hAnsi="Minion Pro"/>
                <w:color w:val="000000"/>
                <w:lang w:val="fr-BE"/>
              </w:rPr>
              <w:t>Azaykou</w:t>
            </w:r>
            <w:proofErr w:type="spellEnd"/>
            <w:r>
              <w:rPr>
                <w:rFonts w:ascii="Minion Pro" w:hAnsi="Minion Pro"/>
                <w:color w:val="000000"/>
                <w:lang w:val="fr-BE"/>
              </w:rPr>
              <w:t xml:space="preserve">. </w:t>
            </w:r>
            <w:r>
              <w:rPr>
                <w:rFonts w:ascii="Minion Pro" w:hAnsi="Minion Pro"/>
                <w:i/>
                <w:iCs/>
                <w:color w:val="000000"/>
              </w:rPr>
              <w:t xml:space="preserve">Revue des </w:t>
            </w:r>
            <w:r>
              <w:rPr>
                <w:rFonts w:ascii="Minion Pro" w:hAnsi="Minion Pro"/>
                <w:color w:val="000000"/>
              </w:rPr>
              <w:t>é</w:t>
            </w:r>
            <w:r>
              <w:rPr>
                <w:rFonts w:ascii="Minion Pro" w:hAnsi="Minion Pro"/>
                <w:i/>
                <w:iCs/>
                <w:color w:val="000000"/>
              </w:rPr>
              <w:t xml:space="preserve">tudes </w:t>
            </w:r>
            <w:proofErr w:type="spellStart"/>
            <w:r>
              <w:rPr>
                <w:rFonts w:ascii="Minion Pro" w:hAnsi="Minion Pro"/>
                <w:i/>
                <w:iCs/>
                <w:color w:val="000000"/>
              </w:rPr>
              <w:t>amazighes</w:t>
            </w:r>
            <w:proofErr w:type="spellEnd"/>
            <w:r>
              <w:rPr>
                <w:rFonts w:ascii="Minion Pro" w:hAnsi="Minion Pro"/>
                <w:color w:val="000000"/>
              </w:rPr>
              <w:t>, (1), 115-135.</w:t>
            </w:r>
          </w:p>
          <w:p w14:paraId="2A99B88E" w14:textId="77777777" w:rsidR="002E2EC4" w:rsidRDefault="002769AC">
            <w:pPr>
              <w:pStyle w:val="ListParagraph"/>
              <w:numPr>
                <w:ilvl w:val="0"/>
                <w:numId w:val="1"/>
              </w:numPr>
              <w:spacing w:before="120" w:after="0" w:line="276" w:lineRule="auto"/>
            </w:pPr>
            <w:proofErr w:type="spellStart"/>
            <w:r>
              <w:rPr>
                <w:rFonts w:ascii="Minion Pro" w:hAnsi="Minion Pro"/>
                <w:lang w:val="fr-BE"/>
              </w:rPr>
              <w:t>Bessaoud</w:t>
            </w:r>
            <w:proofErr w:type="spellEnd"/>
            <w:r>
              <w:rPr>
                <w:rFonts w:ascii="Minion Pro" w:hAnsi="Minion Pro"/>
                <w:lang w:val="fr-BE"/>
              </w:rPr>
              <w:t xml:space="preserve">, M. A. (2000). </w:t>
            </w:r>
            <w:r>
              <w:rPr>
                <w:rFonts w:ascii="Minion Pro" w:hAnsi="Minion Pro"/>
                <w:i/>
                <w:iCs/>
                <w:lang w:val="fr-BE"/>
              </w:rPr>
              <w:t>De petites gens pour une grande cause, ou l’histoire de l’Académie Berbère: 1966-1978</w:t>
            </w:r>
            <w:r>
              <w:rPr>
                <w:rFonts w:ascii="Minion Pro" w:hAnsi="Minion Pro"/>
                <w:lang w:val="fr-BE"/>
              </w:rPr>
              <w:t xml:space="preserve">. </w:t>
            </w:r>
            <w:r>
              <w:rPr>
                <w:rFonts w:ascii="Minion Pro" w:hAnsi="Minion Pro"/>
              </w:rPr>
              <w:t xml:space="preserve">Alger: </w:t>
            </w:r>
            <w:proofErr w:type="spellStart"/>
            <w:r>
              <w:rPr>
                <w:rFonts w:ascii="Minion Pro" w:hAnsi="Minion Pro"/>
              </w:rPr>
              <w:t>Imprimerie</w:t>
            </w:r>
            <w:proofErr w:type="spellEnd"/>
            <w:r>
              <w:rPr>
                <w:rFonts w:ascii="Minion Pro" w:hAnsi="Minion Pro"/>
              </w:rPr>
              <w:t xml:space="preserve"> de </w:t>
            </w:r>
            <w:proofErr w:type="spellStart"/>
            <w:r>
              <w:rPr>
                <w:rFonts w:ascii="Minion Pro" w:hAnsi="Minion Pro"/>
              </w:rPr>
              <w:t>l’Artisan</w:t>
            </w:r>
            <w:proofErr w:type="spellEnd"/>
            <w:r>
              <w:rPr>
                <w:rFonts w:ascii="Minion Pro" w:hAnsi="Minion Pro"/>
              </w:rPr>
              <w:t>.</w:t>
            </w:r>
          </w:p>
          <w:p w14:paraId="2A99B88F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  <w:jc w:val="both"/>
            </w:pPr>
            <w:proofErr w:type="spellStart"/>
            <w:r>
              <w:rPr>
                <w:rFonts w:ascii="Minion Pro" w:hAnsi="Minion Pro"/>
                <w:color w:val="000000"/>
                <w:lang w:val="fr-BE"/>
              </w:rPr>
              <w:t>Bouyaakoubi</w:t>
            </w:r>
            <w:proofErr w:type="spellEnd"/>
            <w:r>
              <w:rPr>
                <w:rFonts w:ascii="Minion Pro" w:hAnsi="Minion Pro"/>
                <w:color w:val="000000"/>
                <w:lang w:val="fr-BE"/>
              </w:rPr>
              <w:t xml:space="preserve">, L. (2009). </w:t>
            </w:r>
            <w:r>
              <w:rPr>
                <w:rFonts w:ascii="Minion Pro" w:hAnsi="Minion Pro"/>
                <w:i/>
                <w:iCs/>
                <w:color w:val="000000"/>
                <w:lang w:val="fr-BE"/>
              </w:rPr>
              <w:t>Mohamed Chafik: L’homme de l’unanimité: Parcours d’une figure emblématique de la revendication amazighe au Maroc</w:t>
            </w:r>
            <w:r>
              <w:rPr>
                <w:rFonts w:ascii="Minion Pro" w:hAnsi="Minion Pro"/>
                <w:color w:val="000000"/>
                <w:lang w:val="fr-BE"/>
              </w:rPr>
              <w:t xml:space="preserve">. </w:t>
            </w:r>
            <w:proofErr w:type="spellStart"/>
            <w:r>
              <w:rPr>
                <w:rFonts w:ascii="Minion Pro" w:hAnsi="Minion Pro"/>
                <w:color w:val="000000"/>
              </w:rPr>
              <w:t>Tamaynut</w:t>
            </w:r>
            <w:proofErr w:type="spellEnd"/>
            <w:r>
              <w:rPr>
                <w:rFonts w:ascii="Minion Pro" w:hAnsi="Minion Pro"/>
                <w:color w:val="000000"/>
              </w:rPr>
              <w:t>-Anfa.</w:t>
            </w:r>
          </w:p>
          <w:p w14:paraId="2A99B890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  <w:jc w:val="both"/>
            </w:pPr>
            <w:r>
              <w:rPr>
                <w:rFonts w:ascii="Minion Pro" w:hAnsi="Minion Pro"/>
                <w:color w:val="000000"/>
              </w:rPr>
              <w:t xml:space="preserve">El </w:t>
            </w:r>
            <w:proofErr w:type="spellStart"/>
            <w:r>
              <w:rPr>
                <w:rFonts w:ascii="Minion Pro" w:hAnsi="Minion Pro"/>
                <w:color w:val="000000"/>
              </w:rPr>
              <w:t>Guabli</w:t>
            </w:r>
            <w:proofErr w:type="spellEnd"/>
            <w:r>
              <w:rPr>
                <w:rFonts w:ascii="Minion Pro" w:hAnsi="Minion Pro"/>
                <w:color w:val="000000"/>
              </w:rPr>
              <w:t>, B. (2023b).</w:t>
            </w:r>
            <w:r>
              <w:rPr>
                <w:rFonts w:ascii="Minion Pro" w:hAnsi="Minion Pro"/>
                <w:i/>
                <w:iCs/>
                <w:color w:val="000000"/>
              </w:rPr>
              <w:t> Moroccan other-archives: History and citizenship after state violence</w:t>
            </w:r>
            <w:r>
              <w:rPr>
                <w:rFonts w:ascii="Minion Pro" w:hAnsi="Minion Pro"/>
                <w:color w:val="000000"/>
              </w:rPr>
              <w:t>. Fordham University Press.</w:t>
            </w:r>
          </w:p>
          <w:p w14:paraId="2A99B891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</w:pPr>
            <w:proofErr w:type="spellStart"/>
            <w:r>
              <w:rPr>
                <w:rFonts w:ascii="Minion Pro" w:eastAsia="Times New Roman" w:hAnsi="Minion Pro"/>
                <w:sz w:val="22"/>
                <w:szCs w:val="22"/>
                <w:lang w:val="fr-BE"/>
              </w:rPr>
              <w:t>Ibrahimi</w:t>
            </w:r>
            <w:proofErr w:type="spellEnd"/>
            <w:r>
              <w:rPr>
                <w:rFonts w:ascii="Minion Pro" w:eastAsia="Times New Roman" w:hAnsi="Minion Pro"/>
                <w:sz w:val="22"/>
                <w:szCs w:val="22"/>
                <w:lang w:val="fr-BE"/>
              </w:rPr>
              <w:t xml:space="preserve">, A. El (2015). </w:t>
            </w:r>
            <w:r>
              <w:rPr>
                <w:rFonts w:ascii="Minion Pro" w:eastAsia="Times New Roman" w:hAnsi="Minion Pro"/>
                <w:i/>
                <w:iCs/>
                <w:sz w:val="22"/>
                <w:szCs w:val="22"/>
                <w:lang w:val="fr-BE"/>
              </w:rPr>
              <w:t>Amazighité et contestations au Maroc</w:t>
            </w:r>
            <w:r>
              <w:rPr>
                <w:rFonts w:ascii="Minion Pro" w:eastAsia="Times New Roman" w:hAnsi="Minion Pro"/>
                <w:sz w:val="22"/>
                <w:szCs w:val="22"/>
                <w:lang w:val="fr-BE"/>
              </w:rPr>
              <w:t>. Brill.</w:t>
            </w:r>
          </w:p>
          <w:p w14:paraId="2A99B892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  <w:jc w:val="both"/>
            </w:pPr>
            <w:proofErr w:type="spellStart"/>
            <w:r>
              <w:rPr>
                <w:rFonts w:ascii="Minion Pro" w:hAnsi="Minion Pro"/>
              </w:rPr>
              <w:t>Ilahiane</w:t>
            </w:r>
            <w:proofErr w:type="spellEnd"/>
            <w:r>
              <w:rPr>
                <w:rFonts w:ascii="Minion Pro" w:hAnsi="Minion Pro"/>
              </w:rPr>
              <w:t xml:space="preserve">, H. (2017). </w:t>
            </w:r>
            <w:r>
              <w:rPr>
                <w:rFonts w:ascii="Minion Pro" w:hAnsi="Minion Pro"/>
                <w:i/>
                <w:iCs/>
              </w:rPr>
              <w:t>Historical Dictionary of the Berbers (Imazighen)</w:t>
            </w:r>
            <w:r>
              <w:rPr>
                <w:rFonts w:ascii="Minion Pro" w:hAnsi="Minion Pro"/>
              </w:rPr>
              <w:t xml:space="preserve">. </w:t>
            </w:r>
            <w:proofErr w:type="spellStart"/>
            <w:r>
              <w:rPr>
                <w:rFonts w:ascii="Minion Pro" w:hAnsi="Minion Pro"/>
                <w:lang w:val="nl-NL"/>
              </w:rPr>
              <w:t>Rowman</w:t>
            </w:r>
            <w:proofErr w:type="spellEnd"/>
            <w:r>
              <w:rPr>
                <w:rFonts w:ascii="Minion Pro" w:hAnsi="Minion Pro"/>
                <w:lang w:val="nl-NL"/>
              </w:rPr>
              <w:t xml:space="preserve"> &amp; Littlefield.</w:t>
            </w:r>
          </w:p>
          <w:p w14:paraId="2A99B893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  <w:jc w:val="both"/>
            </w:pPr>
            <w:r>
              <w:rPr>
                <w:rFonts w:ascii="Minion Pro" w:hAnsi="Minion Pro"/>
                <w:color w:val="000000"/>
              </w:rPr>
              <w:t xml:space="preserve">Maddy-Weitzman, B. (2011). </w:t>
            </w:r>
            <w:r>
              <w:rPr>
                <w:rFonts w:ascii="Minion Pro" w:hAnsi="Minion Pro"/>
                <w:i/>
                <w:iCs/>
                <w:color w:val="000000"/>
              </w:rPr>
              <w:t>The Berber identity movement and the challenge to North African states</w:t>
            </w:r>
            <w:r>
              <w:rPr>
                <w:rFonts w:ascii="Minion Pro" w:hAnsi="Minion Pro"/>
                <w:color w:val="000000"/>
              </w:rPr>
              <w:t>. University of Texas Press. </w:t>
            </w:r>
          </w:p>
          <w:p w14:paraId="2A99B894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  <w:jc w:val="both"/>
            </w:pPr>
            <w:r>
              <w:rPr>
                <w:rFonts w:ascii="Minion Pro" w:hAnsi="Minion Pro"/>
                <w:color w:val="000000"/>
              </w:rPr>
              <w:t xml:space="preserve">Maddy-Weitzman, B. (2022). </w:t>
            </w:r>
            <w:r>
              <w:rPr>
                <w:rFonts w:ascii="Minion Pro" w:hAnsi="Minion Pro"/>
                <w:i/>
                <w:iCs/>
                <w:color w:val="000000"/>
              </w:rPr>
              <w:t>Amazigh politics in the wake of the Arab Spring</w:t>
            </w:r>
            <w:r>
              <w:rPr>
                <w:rFonts w:ascii="Minion Pro" w:hAnsi="Minion Pro"/>
                <w:color w:val="000000"/>
              </w:rPr>
              <w:t>. University of Texas Press.</w:t>
            </w:r>
          </w:p>
          <w:p w14:paraId="2A99B895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</w:pPr>
            <w:proofErr w:type="spellStart"/>
            <w:r>
              <w:rPr>
                <w:rFonts w:ascii="Minion Pro" w:hAnsi="Minion Pro"/>
                <w:color w:val="000000"/>
                <w:sz w:val="22"/>
                <w:szCs w:val="22"/>
                <w:lang w:val="fr-BE"/>
              </w:rPr>
              <w:t>Rachik</w:t>
            </w:r>
            <w:proofErr w:type="spellEnd"/>
            <w:r>
              <w:rPr>
                <w:rFonts w:ascii="Minion Pro" w:hAnsi="Minion Pro"/>
                <w:color w:val="000000"/>
                <w:sz w:val="22"/>
                <w:szCs w:val="22"/>
                <w:lang w:val="fr-BE"/>
              </w:rPr>
              <w:t xml:space="preserve">, H. (2006). </w:t>
            </w:r>
            <w:r>
              <w:rPr>
                <w:rFonts w:ascii="Minion Pro" w:hAnsi="Minion Pro"/>
                <w:i/>
                <w:iCs/>
                <w:color w:val="000000"/>
                <w:sz w:val="22"/>
                <w:szCs w:val="22"/>
                <w:lang w:val="fr-BE"/>
              </w:rPr>
              <w:t>Usages de l'identité Amazighe au Maroc</w:t>
            </w:r>
            <w:r>
              <w:rPr>
                <w:rFonts w:ascii="Minion Pro" w:hAnsi="Minion Pro"/>
                <w:lang w:val="fr-BE"/>
              </w:rPr>
              <w:t xml:space="preserve">. </w:t>
            </w:r>
            <w:r>
              <w:rPr>
                <w:rFonts w:ascii="Minion Pro" w:hAnsi="Minion Pro"/>
                <w:color w:val="000000"/>
                <w:sz w:val="22"/>
                <w:szCs w:val="22"/>
                <w:lang w:val="fr-BE"/>
              </w:rPr>
              <w:t>Rabat: Fondation Konrad Adenauer.</w:t>
            </w:r>
          </w:p>
          <w:p w14:paraId="2A99B896" w14:textId="77777777" w:rsidR="002E2EC4" w:rsidRDefault="002769AC">
            <w:pPr>
              <w:pStyle w:val="xmsonormal"/>
              <w:numPr>
                <w:ilvl w:val="0"/>
                <w:numId w:val="1"/>
              </w:numPr>
              <w:spacing w:before="120" w:line="276" w:lineRule="auto"/>
            </w:pPr>
            <w:proofErr w:type="spellStart"/>
            <w:r>
              <w:rPr>
                <w:rFonts w:ascii="Minion Pro" w:eastAsia="Times New Roman" w:hAnsi="Minion Pro"/>
                <w:sz w:val="22"/>
                <w:szCs w:val="22"/>
              </w:rPr>
              <w:t>Rouighi</w:t>
            </w:r>
            <w:proofErr w:type="spellEnd"/>
            <w:r>
              <w:rPr>
                <w:rFonts w:ascii="Minion Pro" w:eastAsia="Times New Roman" w:hAnsi="Minion Pro"/>
                <w:sz w:val="22"/>
                <w:szCs w:val="22"/>
              </w:rPr>
              <w:t xml:space="preserve">, R. (2019). </w:t>
            </w:r>
            <w:r>
              <w:rPr>
                <w:rFonts w:ascii="Minion Pro" w:eastAsia="Times New Roman" w:hAnsi="Minion Pro"/>
                <w:i/>
                <w:iCs/>
                <w:sz w:val="22"/>
                <w:szCs w:val="22"/>
              </w:rPr>
              <w:t>Inventing the Berbers: History and Ideology in the Maghreb</w:t>
            </w:r>
            <w:r>
              <w:rPr>
                <w:rFonts w:ascii="Minion Pro" w:eastAsia="Times New Roman" w:hAnsi="Minion Pro"/>
                <w:sz w:val="22"/>
                <w:szCs w:val="22"/>
              </w:rPr>
              <w:t>. University of Pennsylvania Press.</w:t>
            </w:r>
          </w:p>
          <w:p w14:paraId="2A99B897" w14:textId="77777777" w:rsidR="002E2EC4" w:rsidRDefault="002E2EC4">
            <w:pPr>
              <w:pStyle w:val="ListParagraph"/>
              <w:spacing w:after="0" w:line="240" w:lineRule="auto"/>
              <w:ind w:left="0"/>
              <w:rPr>
                <w:lang w:val="fr-BE"/>
              </w:rPr>
            </w:pPr>
          </w:p>
        </w:tc>
      </w:tr>
    </w:tbl>
    <w:p w14:paraId="2A99B899" w14:textId="77777777" w:rsidR="002E2EC4" w:rsidRDefault="002E2EC4">
      <w:pPr>
        <w:pStyle w:val="ListParagraph"/>
        <w:rPr>
          <w:lang w:val="fr-BE"/>
        </w:rPr>
      </w:pPr>
    </w:p>
    <w:sectPr w:rsidR="002E2EC4">
      <w:headerReference w:type="default" r:id="rId7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9B88F" w14:textId="77777777" w:rsidR="002769AC" w:rsidRDefault="002769AC">
      <w:pPr>
        <w:spacing w:after="0" w:line="240" w:lineRule="auto"/>
      </w:pPr>
      <w:r>
        <w:separator/>
      </w:r>
    </w:p>
  </w:endnote>
  <w:endnote w:type="continuationSeparator" w:id="0">
    <w:p w14:paraId="2A99B891" w14:textId="77777777" w:rsidR="002769AC" w:rsidRDefault="00276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9B88B" w14:textId="77777777" w:rsidR="002769AC" w:rsidRDefault="002769A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A99B88D" w14:textId="77777777" w:rsidR="002769AC" w:rsidRDefault="00276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50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4675"/>
      <w:gridCol w:w="4675"/>
    </w:tblGrid>
    <w:tr w:rsidR="00F737BF" w14:paraId="2A99B897" w14:textId="77777777">
      <w:tblPrEx>
        <w:tblCellMar>
          <w:top w:w="0" w:type="dxa"/>
          <w:bottom w:w="0" w:type="dxa"/>
        </w:tblCellMar>
      </w:tblPrEx>
      <w:tc>
        <w:tcPr>
          <w:tcW w:w="4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D1D1D1"/>
          <w:tcMar>
            <w:top w:w="0" w:type="dxa"/>
            <w:left w:w="108" w:type="dxa"/>
            <w:bottom w:w="0" w:type="dxa"/>
            <w:right w:w="108" w:type="dxa"/>
          </w:tcMar>
        </w:tcPr>
        <w:p w14:paraId="2A99B893" w14:textId="77777777" w:rsidR="002769AC" w:rsidRDefault="002769AC">
          <w:pPr>
            <w:pStyle w:val="Header"/>
            <w:rPr>
              <w:rFonts w:ascii="Minion Pro" w:hAnsi="Minion Pro"/>
              <w:sz w:val="24"/>
              <w:szCs w:val="24"/>
            </w:rPr>
          </w:pPr>
          <w:r>
            <w:rPr>
              <w:rFonts w:ascii="Minion Pro" w:hAnsi="Minion Pro"/>
              <w:sz w:val="24"/>
              <w:szCs w:val="24"/>
            </w:rPr>
            <w:t>References Amazigh Studies</w:t>
          </w:r>
        </w:p>
        <w:p w14:paraId="2A99B894" w14:textId="77777777" w:rsidR="002769AC" w:rsidRDefault="002769AC">
          <w:pPr>
            <w:pStyle w:val="Header"/>
            <w:rPr>
              <w:rFonts w:ascii="Minion Pro" w:hAnsi="Minion Pro"/>
              <w:sz w:val="20"/>
              <w:szCs w:val="20"/>
            </w:rPr>
          </w:pPr>
          <w:r>
            <w:rPr>
              <w:rFonts w:ascii="Minion Pro" w:hAnsi="Minion Pro"/>
              <w:sz w:val="20"/>
              <w:szCs w:val="20"/>
            </w:rPr>
            <w:t>NIMAR</w:t>
          </w:r>
        </w:p>
        <w:p w14:paraId="2A99B895" w14:textId="77777777" w:rsidR="002769AC" w:rsidRDefault="002769AC">
          <w:pPr>
            <w:pStyle w:val="Header"/>
          </w:pPr>
          <w:r>
            <w:rPr>
              <w:rFonts w:ascii="Minion Pro" w:hAnsi="Minion Pro"/>
              <w:sz w:val="20"/>
              <w:szCs w:val="20"/>
            </w:rPr>
            <w:t>03042025</w:t>
          </w:r>
        </w:p>
      </w:tc>
      <w:tc>
        <w:tcPr>
          <w:tcW w:w="4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D1D1D1"/>
          <w:tcMar>
            <w:top w:w="0" w:type="dxa"/>
            <w:left w:w="108" w:type="dxa"/>
            <w:bottom w:w="0" w:type="dxa"/>
            <w:right w:w="108" w:type="dxa"/>
          </w:tcMar>
        </w:tcPr>
        <w:p w14:paraId="2A99B896" w14:textId="77777777" w:rsidR="002769AC" w:rsidRDefault="002769AC">
          <w:pPr>
            <w:pStyle w:val="Header"/>
          </w:pPr>
        </w:p>
      </w:tc>
    </w:tr>
  </w:tbl>
  <w:p w14:paraId="2A99B898" w14:textId="77777777" w:rsidR="002769AC" w:rsidRDefault="002769A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5793E"/>
    <w:multiLevelType w:val="multilevel"/>
    <w:tmpl w:val="05421E06"/>
    <w:lvl w:ilvl="0">
      <w:numFmt w:val="bullet"/>
      <w:lvlText w:val=""/>
      <w:lvlJc w:val="left"/>
      <w:pPr>
        <w:ind w:left="45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17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9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61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33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05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77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9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210" w:hanging="360"/>
      </w:pPr>
      <w:rPr>
        <w:rFonts w:ascii="Wingdings" w:hAnsi="Wingdings"/>
      </w:rPr>
    </w:lvl>
  </w:abstractNum>
  <w:num w:numId="1" w16cid:durableId="106824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attachedTemplate r:id="rId1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2E2EC4"/>
    <w:rsid w:val="002769AC"/>
    <w:rsid w:val="002E2EC4"/>
    <w:rsid w:val="007B5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9B88B"/>
  <w15:docId w15:val="{00FC623B-E468-4DCE-ABCA-6230AD47F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en-US" w:eastAsia="en-US" w:bidi="ar-SA"/>
      </w:rPr>
    </w:rPrDefault>
    <w:pPrDefault>
      <w:pPr>
        <w:autoSpaceDN w:val="0"/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 w:cs="Times New Roman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 w:cs="Times New Roman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 w:cs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 w:cs="Times New Roman"/>
      <w:i/>
      <w:iCs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 w:cs="Times New Roman"/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 w:cs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 w:cs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Aptos Display" w:eastAsia="Times New Roman" w:hAnsi="Aptos Display" w:cs="Times New Roman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  <w:contextualSpacing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  <w:style w:type="paragraph" w:styleId="Header">
    <w:name w:val="head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paragraph" w:customStyle="1" w:styleId="xmsonormal">
    <w:name w:val="x_msonormal"/>
    <w:basedOn w:val="Normal"/>
    <w:pPr>
      <w:spacing w:after="0" w:line="240" w:lineRule="auto"/>
    </w:pPr>
    <w:rPr>
      <w:rFonts w:cs="Aptos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1110</Characters>
  <Application>Microsoft Office Word</Application>
  <DocSecurity>0</DocSecurity>
  <Lines>9</Lines>
  <Paragraphs>2</Paragraphs>
  <ScaleCrop>false</ScaleCrop>
  <Company>Universiteit Leiden - ISSC</Company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Cuyper, K. de (Koen)</dc:creator>
  <dc:description/>
  <cp:lastModifiedBy>Cuyper, K. de (Koen)</cp:lastModifiedBy>
  <cp:revision>2</cp:revision>
  <dcterms:created xsi:type="dcterms:W3CDTF">2025-06-04T09:39:00Z</dcterms:created>
  <dcterms:modified xsi:type="dcterms:W3CDTF">2025-06-04T09:39:00Z</dcterms:modified>
</cp:coreProperties>
</file>